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BA" w:rsidRDefault="004E3637" w:rsidP="004E3637">
      <w:pPr>
        <w:spacing w:line="276" w:lineRule="auto"/>
        <w:jc w:val="center"/>
        <w:rPr>
          <w:rFonts w:ascii="Arial" w:hAnsi="Arial" w:cs="Arial"/>
          <w:b/>
          <w:color w:val="000000" w:themeColor="text1"/>
          <w:sz w:val="24"/>
          <w:szCs w:val="24"/>
          <w14:textOutline w14:w="0" w14:cap="flat" w14:cmpd="sng" w14:algn="ctr">
            <w14:noFill/>
            <w14:prstDash w14:val="solid"/>
            <w14:round/>
          </w14:textOutline>
        </w:rPr>
      </w:pPr>
      <w:r>
        <w:rPr>
          <w:rFonts w:ascii="Arial" w:hAnsi="Arial" w:cs="Arial"/>
          <w:b/>
          <w:color w:val="000000" w:themeColor="text1"/>
          <w:sz w:val="24"/>
          <w:szCs w:val="24"/>
          <w14:textOutline w14:w="0" w14:cap="flat" w14:cmpd="sng" w14:algn="ctr">
            <w14:noFill/>
            <w14:prstDash w14:val="solid"/>
            <w14:round/>
          </w14:textOutline>
        </w:rPr>
        <w:br/>
      </w:r>
      <w:r>
        <w:rPr>
          <w:rFonts w:ascii="Arial" w:hAnsi="Arial" w:cs="Arial"/>
          <w:b/>
          <w:color w:val="000000" w:themeColor="text1"/>
          <w:sz w:val="24"/>
          <w:szCs w:val="24"/>
          <w14:textOutline w14:w="0" w14:cap="flat" w14:cmpd="sng" w14:algn="ctr">
            <w14:noFill/>
            <w14:prstDash w14:val="solid"/>
            <w14:round/>
          </w14:textOutline>
        </w:rPr>
        <w:br/>
      </w:r>
    </w:p>
    <w:p w:rsidR="004E3637" w:rsidRPr="001B4806" w:rsidRDefault="004E3637" w:rsidP="004E3637">
      <w:pPr>
        <w:spacing w:line="276" w:lineRule="auto"/>
        <w:jc w:val="center"/>
        <w:rPr>
          <w:rFonts w:ascii="Arial" w:hAnsi="Arial" w:cs="Arial"/>
        </w:rPr>
      </w:pPr>
      <w:bookmarkStart w:id="0" w:name="_GoBack"/>
      <w:bookmarkEnd w:id="0"/>
      <w:r w:rsidRPr="00CE3FAE">
        <w:rPr>
          <w:rFonts w:ascii="Arial" w:hAnsi="Arial" w:cs="Arial"/>
          <w:b/>
          <w:color w:val="000000" w:themeColor="text1"/>
          <w:sz w:val="24"/>
          <w:szCs w:val="24"/>
          <w14:textOutline w14:w="0" w14:cap="flat" w14:cmpd="sng" w14:algn="ctr">
            <w14:noFill/>
            <w14:prstDash w14:val="solid"/>
            <w14:round/>
          </w14:textOutline>
        </w:rPr>
        <w:t xml:space="preserve">Auszug aus der Richtlinie über die Gewährung von Zuwendungen </w:t>
      </w:r>
      <w:r w:rsidRPr="00CE3FAE">
        <w:rPr>
          <w:rFonts w:ascii="Arial" w:hAnsi="Arial" w:cs="Arial"/>
          <w:b/>
          <w:color w:val="000000" w:themeColor="text1"/>
          <w:sz w:val="24"/>
          <w:szCs w:val="24"/>
          <w14:textOutline w14:w="0" w14:cap="flat" w14:cmpd="sng" w14:algn="ctr">
            <w14:noFill/>
            <w14:prstDash w14:val="solid"/>
            <w14:round/>
          </w14:textOutline>
        </w:rPr>
        <w:br/>
        <w:t xml:space="preserve">zur Förderung städtebaulicher Erneuerungsmaßnahmen </w:t>
      </w:r>
      <w:r w:rsidRPr="00CE3FAE">
        <w:rPr>
          <w:rFonts w:ascii="Arial" w:hAnsi="Arial" w:cs="Arial"/>
          <w:b/>
          <w:color w:val="000000" w:themeColor="text1"/>
          <w:sz w:val="24"/>
          <w:szCs w:val="24"/>
          <w14:textOutline w14:w="0" w14:cap="flat" w14:cmpd="sng" w14:algn="ctr">
            <w14:noFill/>
            <w14:prstDash w14:val="solid"/>
            <w14:round/>
          </w14:textOutline>
        </w:rPr>
        <w:br/>
        <w:t>(Städtebauförderungsrichtlinie – R-</w:t>
      </w:r>
      <w:proofErr w:type="spellStart"/>
      <w:r w:rsidRPr="00CE3FAE">
        <w:rPr>
          <w:rFonts w:ascii="Arial" w:hAnsi="Arial" w:cs="Arial"/>
          <w:b/>
          <w:color w:val="000000" w:themeColor="text1"/>
          <w:sz w:val="24"/>
          <w:szCs w:val="24"/>
          <w14:textOutline w14:w="0" w14:cap="flat" w14:cmpd="sng" w14:algn="ctr">
            <w14:noFill/>
            <w14:prstDash w14:val="solid"/>
            <w14:round/>
          </w14:textOutline>
        </w:rPr>
        <w:t>StBauF</w:t>
      </w:r>
      <w:proofErr w:type="spellEnd"/>
      <w:r w:rsidRPr="00CE3FAE">
        <w:rPr>
          <w:rFonts w:ascii="Arial" w:hAnsi="Arial" w:cs="Arial"/>
          <w:b/>
          <w:color w:val="000000" w:themeColor="text1"/>
          <w:sz w:val="24"/>
          <w:szCs w:val="24"/>
          <w14:textOutline w14:w="0" w14:cap="flat" w14:cmpd="sng" w14:algn="ctr">
            <w14:noFill/>
            <w14:prstDash w14:val="solid"/>
            <w14:round/>
          </w14:textOutline>
        </w:rPr>
        <w:t>),</w:t>
      </w:r>
    </w:p>
    <w:p w:rsidR="004E3637" w:rsidRPr="00C767B9" w:rsidRDefault="004E3637" w:rsidP="004E3637">
      <w:pPr>
        <w:spacing w:line="276" w:lineRule="auto"/>
        <w:jc w:val="center"/>
        <w:rPr>
          <w:rFonts w:ascii="Arial" w:hAnsi="Arial" w:cs="Arial"/>
          <w:b/>
        </w:rPr>
      </w:pPr>
      <w:proofErr w:type="spellStart"/>
      <w:r w:rsidRPr="00CE3FAE">
        <w:rPr>
          <w:rFonts w:ascii="Arial" w:hAnsi="Arial" w:cs="Arial"/>
          <w:b/>
          <w:color w:val="000000" w:themeColor="text1"/>
          <w:sz w:val="24"/>
          <w:szCs w:val="24"/>
          <w14:textOutline w14:w="0" w14:cap="flat" w14:cmpd="sng" w14:algn="ctr">
            <w14:noFill/>
            <w14:prstDash w14:val="solid"/>
            <w14:round/>
          </w14:textOutline>
        </w:rPr>
        <w:t>RdErl</w:t>
      </w:r>
      <w:proofErr w:type="spellEnd"/>
      <w:r w:rsidRPr="00CE3FAE">
        <w:rPr>
          <w:rFonts w:ascii="Arial" w:hAnsi="Arial" w:cs="Arial"/>
          <w:b/>
          <w:color w:val="000000" w:themeColor="text1"/>
          <w:sz w:val="24"/>
          <w:szCs w:val="24"/>
          <w14:textOutline w14:w="0" w14:cap="flat" w14:cmpd="sng" w14:algn="ctr">
            <w14:noFill/>
            <w14:prstDash w14:val="solid"/>
            <w14:round/>
          </w14:textOutline>
        </w:rPr>
        <w:t xml:space="preserve">. d. MS v. 17.11.2015 </w:t>
      </w:r>
      <w:r>
        <w:rPr>
          <w:rFonts w:ascii="Arial" w:hAnsi="Arial" w:cs="Arial"/>
          <w:b/>
          <w:color w:val="000000" w:themeColor="text1"/>
          <w:sz w:val="24"/>
          <w:szCs w:val="24"/>
          <w14:textOutline w14:w="0" w14:cap="flat" w14:cmpd="sng" w14:algn="ctr">
            <w14:noFill/>
            <w14:prstDash w14:val="solid"/>
            <w14:round/>
          </w14:textOutline>
        </w:rPr>
        <w:t>-</w:t>
      </w:r>
      <w:r w:rsidRPr="00CE3FAE">
        <w:rPr>
          <w:rFonts w:ascii="Arial" w:hAnsi="Arial" w:cs="Arial"/>
          <w:b/>
          <w:color w:val="000000" w:themeColor="text1"/>
          <w:sz w:val="24"/>
          <w:szCs w:val="24"/>
          <w14:textOutline w14:w="0" w14:cap="flat" w14:cmpd="sng" w14:algn="ctr">
            <w14:noFill/>
            <w14:prstDash w14:val="solid"/>
            <w14:round/>
          </w14:textOutline>
        </w:rPr>
        <w:t xml:space="preserve"> 501.1-21201.2.17 -</w:t>
      </w:r>
      <w:r w:rsidRPr="00CE3FAE">
        <w:rPr>
          <w:rFonts w:ascii="Arial" w:hAnsi="Arial" w:cs="Arial"/>
          <w:b/>
          <w:color w:val="000000" w:themeColor="text1"/>
          <w:sz w:val="24"/>
          <w:szCs w:val="24"/>
          <w14:textOutline w14:w="0" w14:cap="flat" w14:cmpd="sng" w14:algn="ctr">
            <w14:noFill/>
            <w14:prstDash w14:val="solid"/>
            <w14:round/>
          </w14:textOutline>
        </w:rPr>
        <w:br/>
      </w:r>
      <w:r>
        <w:rPr>
          <w:rFonts w:ascii="Arial" w:hAnsi="Arial" w:cs="Arial"/>
          <w:sz w:val="24"/>
          <w:szCs w:val="24"/>
        </w:rPr>
        <w:br/>
      </w:r>
    </w:p>
    <w:p w:rsidR="004E3637" w:rsidRDefault="004E3637" w:rsidP="004E3637">
      <w:pPr>
        <w:rPr>
          <w:rFonts w:ascii="Arial" w:hAnsi="Arial" w:cs="Arial"/>
          <w:sz w:val="24"/>
          <w:szCs w:val="24"/>
        </w:rPr>
      </w:pPr>
      <w:r>
        <w:rPr>
          <w:rFonts w:ascii="Arial" w:hAnsi="Arial" w:cs="Arial"/>
          <w:sz w:val="24"/>
          <w:szCs w:val="24"/>
        </w:rPr>
        <w:t>5.3.1 Ausgaben für Maßnahmen der weiteren Vorbereitung</w:t>
      </w:r>
    </w:p>
    <w:p w:rsidR="004E3637" w:rsidRDefault="004E3637" w:rsidP="004E3637">
      <w:pPr>
        <w:jc w:val="both"/>
        <w:rPr>
          <w:rFonts w:ascii="Arial" w:hAnsi="Arial" w:cs="Arial"/>
          <w:sz w:val="24"/>
          <w:szCs w:val="24"/>
        </w:rPr>
      </w:pPr>
      <w:r>
        <w:rPr>
          <w:rFonts w:ascii="Arial" w:hAnsi="Arial" w:cs="Arial"/>
          <w:sz w:val="24"/>
          <w:szCs w:val="24"/>
        </w:rPr>
        <w:t>…</w:t>
      </w:r>
      <w:r>
        <w:rPr>
          <w:rFonts w:ascii="Arial" w:hAnsi="Arial" w:cs="Arial"/>
          <w:sz w:val="24"/>
          <w:szCs w:val="24"/>
        </w:rPr>
        <w:br/>
      </w:r>
      <w:r>
        <w:rPr>
          <w:rFonts w:ascii="Arial" w:hAnsi="Arial" w:cs="Arial"/>
          <w:sz w:val="24"/>
          <w:szCs w:val="24"/>
        </w:rPr>
        <w:br/>
        <w:t xml:space="preserve">(5) </w:t>
      </w:r>
      <w:r>
        <w:rPr>
          <w:rFonts w:ascii="Arial" w:hAnsi="Arial" w:cs="Arial"/>
          <w:sz w:val="24"/>
          <w:szCs w:val="24"/>
        </w:rPr>
        <w:tab/>
        <w:t>Zur stärkeren Beteiligung und Mitwirkung von Betroffenen kann die Gemeinde einen Fonds einrichten, dessen Mittel aufgrund der Entscheidung eines lokalen Gremiums verwendet werden (Verfügungsfonds). Der Fonds finanziert sich in der Regel bis zu 50 % aus Mitteln der Städtebauförderung und mindestens zu 50 % aus Mitteln von Wirtschaft, Immobilien- und Standortgemeinschaften, Privaten oder zusätzlichen Mitteln der Gemeinde. Die Mittel der Städtebauförderung sind für Investitionen und investitionsvorbereitende bzw. investitionsbegleitende Maßnahmen zu verwenden. Programmspezifische Besonderheiten ergeben sich aus den Besonderen Zuwendungsbestimmungen.</w:t>
      </w:r>
    </w:p>
    <w:p w:rsidR="004E3637" w:rsidRDefault="004E3637" w:rsidP="004E3637">
      <w:pPr>
        <w:rPr>
          <w:rFonts w:ascii="Arial" w:hAnsi="Arial" w:cs="Arial"/>
          <w:sz w:val="24"/>
          <w:szCs w:val="24"/>
        </w:rPr>
      </w:pPr>
    </w:p>
    <w:p w:rsidR="004E3637" w:rsidRDefault="004E3637" w:rsidP="004E3637">
      <w:pPr>
        <w:rPr>
          <w:rFonts w:ascii="Arial" w:hAnsi="Arial" w:cs="Arial"/>
          <w:sz w:val="24"/>
          <w:szCs w:val="24"/>
        </w:rPr>
      </w:pPr>
    </w:p>
    <w:p w:rsidR="004E3637" w:rsidRDefault="004E3637" w:rsidP="004E3637">
      <w:pPr>
        <w:rPr>
          <w:rFonts w:ascii="Arial" w:hAnsi="Arial" w:cs="Arial"/>
          <w:sz w:val="24"/>
          <w:szCs w:val="24"/>
        </w:rPr>
      </w:pPr>
    </w:p>
    <w:p w:rsidR="004E3637" w:rsidRDefault="004E3637" w:rsidP="004E3637">
      <w:pPr>
        <w:rPr>
          <w:rFonts w:ascii="Arial" w:hAnsi="Arial" w:cs="Arial"/>
          <w:sz w:val="24"/>
          <w:szCs w:val="24"/>
        </w:rPr>
      </w:pPr>
      <w:r>
        <w:rPr>
          <w:rFonts w:ascii="Arial" w:hAnsi="Arial" w:cs="Arial"/>
          <w:sz w:val="24"/>
          <w:szCs w:val="24"/>
        </w:rPr>
        <w:t xml:space="preserve">5.6.1 Besondere Zuwendungsbestimmungen für Maßnahmen im </w:t>
      </w:r>
      <w:r w:rsidRPr="00834D80">
        <w:rPr>
          <w:rFonts w:ascii="Arial" w:hAnsi="Arial" w:cs="Arial"/>
          <w:b/>
          <w:sz w:val="24"/>
          <w:szCs w:val="24"/>
        </w:rPr>
        <w:t>Programm „Soziale Stadt“</w:t>
      </w:r>
      <w:r w:rsidRPr="00834D80">
        <w:rPr>
          <w:rFonts w:ascii="Arial" w:hAnsi="Arial" w:cs="Arial"/>
          <w:b/>
          <w:sz w:val="24"/>
          <w:szCs w:val="24"/>
        </w:rPr>
        <w:br/>
      </w:r>
      <w:r>
        <w:rPr>
          <w:rFonts w:ascii="Arial" w:hAnsi="Arial" w:cs="Arial"/>
          <w:sz w:val="24"/>
          <w:szCs w:val="24"/>
        </w:rPr>
        <w:t>…</w:t>
      </w:r>
      <w:r>
        <w:rPr>
          <w:rFonts w:ascii="Arial" w:hAnsi="Arial" w:cs="Arial"/>
          <w:sz w:val="24"/>
          <w:szCs w:val="24"/>
        </w:rPr>
        <w:br/>
      </w:r>
      <w:r>
        <w:rPr>
          <w:rFonts w:ascii="Arial" w:hAnsi="Arial" w:cs="Arial"/>
          <w:sz w:val="24"/>
          <w:szCs w:val="24"/>
        </w:rPr>
        <w:br/>
        <w:t xml:space="preserve">(2) </w:t>
      </w:r>
      <w:r>
        <w:rPr>
          <w:rFonts w:ascii="Arial" w:hAnsi="Arial" w:cs="Arial"/>
          <w:sz w:val="24"/>
          <w:szCs w:val="24"/>
        </w:rPr>
        <w:tab/>
        <w:t>Zuwendungsfähige Ausgaben (Nummer 5.3 Abs. 9 i. V. m. den Nummern 5.3.1 bis 5.3.4):</w:t>
      </w:r>
    </w:p>
    <w:p w:rsidR="004E3637" w:rsidRDefault="004E3637" w:rsidP="004E3637">
      <w:pPr>
        <w:rPr>
          <w:rFonts w:ascii="Arial" w:hAnsi="Arial" w:cs="Arial"/>
          <w:sz w:val="24"/>
          <w:szCs w:val="24"/>
        </w:rPr>
      </w:pPr>
      <w:r>
        <w:rPr>
          <w:rFonts w:ascii="Arial" w:hAnsi="Arial" w:cs="Arial"/>
          <w:sz w:val="24"/>
          <w:szCs w:val="24"/>
        </w:rPr>
        <w:t>a)…</w:t>
      </w:r>
    </w:p>
    <w:p w:rsidR="004E3637" w:rsidRDefault="004E3637" w:rsidP="004E3637">
      <w:pPr>
        <w:rPr>
          <w:rFonts w:ascii="Arial" w:hAnsi="Arial" w:cs="Arial"/>
          <w:sz w:val="24"/>
          <w:szCs w:val="24"/>
        </w:rPr>
      </w:pPr>
      <w:r>
        <w:rPr>
          <w:rFonts w:ascii="Arial" w:hAnsi="Arial" w:cs="Arial"/>
          <w:sz w:val="24"/>
          <w:szCs w:val="24"/>
        </w:rPr>
        <w:t>b) Für die weitere Vorbereitung gemäß Nummer 5.3.1 gelten folgende Besonderheiten:</w:t>
      </w:r>
    </w:p>
    <w:p w:rsidR="004E3637" w:rsidRDefault="004E3637" w:rsidP="004E3637">
      <w:pPr>
        <w:pStyle w:val="Listenabsatz"/>
        <w:numPr>
          <w:ilvl w:val="0"/>
          <w:numId w:val="1"/>
        </w:numPr>
        <w:rPr>
          <w:rFonts w:ascii="Arial" w:hAnsi="Arial" w:cs="Arial"/>
          <w:sz w:val="24"/>
          <w:szCs w:val="24"/>
        </w:rPr>
      </w:pPr>
      <w:r>
        <w:rPr>
          <w:rFonts w:ascii="Arial" w:hAnsi="Arial" w:cs="Arial"/>
          <w:sz w:val="24"/>
          <w:szCs w:val="24"/>
        </w:rPr>
        <w:t>...</w:t>
      </w:r>
    </w:p>
    <w:p w:rsidR="004E3637" w:rsidRDefault="004E3637" w:rsidP="004E3637">
      <w:pPr>
        <w:pStyle w:val="Listenabsatz"/>
        <w:rPr>
          <w:rFonts w:ascii="Arial" w:hAnsi="Arial" w:cs="Arial"/>
          <w:sz w:val="24"/>
          <w:szCs w:val="24"/>
        </w:rPr>
      </w:pPr>
    </w:p>
    <w:p w:rsidR="004E3637" w:rsidRPr="00834D80" w:rsidRDefault="004E3637" w:rsidP="004E3637">
      <w:pPr>
        <w:pStyle w:val="Listenabsatz"/>
        <w:numPr>
          <w:ilvl w:val="0"/>
          <w:numId w:val="1"/>
        </w:numPr>
        <w:jc w:val="both"/>
        <w:rPr>
          <w:rFonts w:ascii="Arial" w:hAnsi="Arial" w:cs="Arial"/>
          <w:sz w:val="24"/>
          <w:szCs w:val="24"/>
        </w:rPr>
      </w:pPr>
      <w:r w:rsidRPr="00834D80">
        <w:rPr>
          <w:rFonts w:ascii="Arial" w:hAnsi="Arial" w:cs="Arial"/>
          <w:sz w:val="24"/>
          <w:szCs w:val="24"/>
        </w:rPr>
        <w:t xml:space="preserve">Fonds gemäß Nummer 5.3.1 Abs. 5 können auch bis zu 100 % aus Mitteln der Städtebauförderung </w:t>
      </w:r>
      <w:r>
        <w:rPr>
          <w:rFonts w:ascii="Arial" w:hAnsi="Arial" w:cs="Arial"/>
          <w:sz w:val="24"/>
          <w:szCs w:val="24"/>
        </w:rPr>
        <w:t>finanziert werden. Für die in den Fonds eingebrachten Städtebauförderungsmittel gilt nicht die Beschränkung auf Investitionen sowie auf investitionsvorbereitende und investitionsbegleitende Maßnahmen; diese Mittel können zusätzlich gemäß § 171 e BauGB verwendet werden.</w:t>
      </w:r>
    </w:p>
    <w:p w:rsidR="00A56C93" w:rsidRDefault="00BF1EBA"/>
    <w:sectPr w:rsidR="00A56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C7CE0"/>
    <w:multiLevelType w:val="hybridMultilevel"/>
    <w:tmpl w:val="CCC67B04"/>
    <w:lvl w:ilvl="0" w:tplc="8F16D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37"/>
    <w:rsid w:val="00026C84"/>
    <w:rsid w:val="004E3637"/>
    <w:rsid w:val="00935F58"/>
    <w:rsid w:val="00BF1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B5A50-634E-4B7C-8FF3-1AE1C6A4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6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3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5CA590A3.dotm</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Haferlach, Bettina (MS)</dc:creator>
  <cp:keywords/>
  <dc:description/>
  <cp:lastModifiedBy>Haferlach, Bettina (MS)</cp:lastModifiedBy>
  <cp:revision>2</cp:revision>
  <dcterms:created xsi:type="dcterms:W3CDTF">2017-03-15T11:00:00Z</dcterms:created>
  <dcterms:modified xsi:type="dcterms:W3CDTF">2017-03-15T11:02:00Z</dcterms:modified>
</cp:coreProperties>
</file>